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0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附件：</w:t>
      </w:r>
    </w:p>
    <w:p w14:paraId="0FD9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2025年新疆财经大学教学创新团队培育名单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230"/>
        <w:gridCol w:w="3419"/>
        <w:gridCol w:w="1923"/>
        <w:gridCol w:w="5315"/>
      </w:tblGrid>
      <w:tr w14:paraId="4928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</w:tr>
      <w:tr w14:paraId="0016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会计学教学创新团队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陈维青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王艳丽、冯莉、迈扎尼、郑潘婷、孙孟杰、张比亚</w:t>
            </w:r>
          </w:p>
        </w:tc>
      </w:tr>
      <w:tr w14:paraId="6C17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金融学教学创新团队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黄薏舟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阿布都瓦力·艾百、谢婷婷、杨红丽、左喜梅、南楠、孙昕</w:t>
            </w:r>
          </w:p>
        </w:tc>
      </w:tr>
      <w:tr w14:paraId="6410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工商管理学院（MBA学院）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工商管理教学创新团队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周燕华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李季鹏、霍彬、陈妍、努尔比亚·艾孜孜、王柯、王楠楠</w:t>
            </w:r>
          </w:p>
        </w:tc>
      </w:tr>
    </w:tbl>
    <w:p w14:paraId="671653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0437D"/>
    <w:rsid w:val="6DB0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